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18CC6" w14:textId="77777777" w:rsidR="00DD149D" w:rsidRDefault="00DD149D" w:rsidP="00DD149D">
      <w:pPr>
        <w:jc w:val="center"/>
        <w:rPr>
          <w:rFonts w:ascii="Arial" w:hAnsi="Arial" w:cs="Arial"/>
          <w:b/>
          <w:color w:val="C00000"/>
          <w:sz w:val="28"/>
          <w:szCs w:val="28"/>
          <w:u w:val="single"/>
        </w:rPr>
      </w:pPr>
      <w:r w:rsidRPr="008E1B2F">
        <w:rPr>
          <w:rFonts w:ascii="Arial" w:hAnsi="Arial" w:cs="Arial"/>
          <w:b/>
          <w:color w:val="C00000"/>
          <w:sz w:val="28"/>
          <w:szCs w:val="28"/>
          <w:u w:val="single"/>
        </w:rPr>
        <w:t>MARCHE A SUIVRE</w:t>
      </w:r>
    </w:p>
    <w:p w14:paraId="22B27F25" w14:textId="77777777" w:rsidR="00DD149D" w:rsidRPr="008E1B2F" w:rsidRDefault="00DD149D" w:rsidP="00DD149D">
      <w:pPr>
        <w:jc w:val="center"/>
        <w:rPr>
          <w:rFonts w:ascii="Arial" w:hAnsi="Arial" w:cs="Arial"/>
          <w:b/>
          <w:color w:val="C00000"/>
          <w:sz w:val="28"/>
          <w:szCs w:val="28"/>
          <w:u w:val="single"/>
        </w:rPr>
      </w:pPr>
    </w:p>
    <w:p w14:paraId="34C4618B" w14:textId="77777777" w:rsidR="00DD149D" w:rsidRPr="00BF485B" w:rsidRDefault="00DD149D" w:rsidP="00DD149D">
      <w:pPr>
        <w:jc w:val="center"/>
        <w:rPr>
          <w:color w:val="C00000"/>
        </w:rPr>
      </w:pPr>
      <w:r w:rsidRPr="00BF485B">
        <w:rPr>
          <w:color w:val="C00000"/>
        </w:rPr>
        <w:t>(Convention de parents non mariés)</w:t>
      </w:r>
    </w:p>
    <w:p w14:paraId="6CDEE6B0" w14:textId="77777777" w:rsidR="00DD149D" w:rsidRPr="00BF485B" w:rsidRDefault="00DD149D" w:rsidP="00DD149D">
      <w:pPr>
        <w:rPr>
          <w:rFonts w:ascii="Arial" w:hAnsi="Arial" w:cs="Arial"/>
          <w:color w:val="FF0000"/>
        </w:rPr>
      </w:pPr>
    </w:p>
    <w:p w14:paraId="3E44DBEF" w14:textId="77777777" w:rsidR="00DD149D" w:rsidRPr="00995454" w:rsidRDefault="00DD149D" w:rsidP="00DD149D">
      <w:pPr>
        <w:rPr>
          <w:rFonts w:ascii="Arial" w:hAnsi="Arial" w:cs="Arial"/>
          <w:b/>
          <w:bCs/>
          <w:color w:val="C00000"/>
          <w:sz w:val="28"/>
          <w:szCs w:val="28"/>
          <w:u w:val="single"/>
        </w:rPr>
      </w:pPr>
      <w:r w:rsidRPr="00995454">
        <w:rPr>
          <w:rFonts w:ascii="Arial" w:hAnsi="Arial" w:cs="Arial"/>
          <w:b/>
          <w:bCs/>
          <w:color w:val="C00000"/>
          <w:sz w:val="28"/>
          <w:szCs w:val="28"/>
          <w:u w:val="single"/>
        </w:rPr>
        <w:t>Prérequis</w:t>
      </w:r>
    </w:p>
    <w:p w14:paraId="72B62C2C" w14:textId="77777777" w:rsidR="00DD149D" w:rsidRPr="008E1B2F" w:rsidRDefault="00DD149D" w:rsidP="00DD149D">
      <w:pPr>
        <w:rPr>
          <w:b/>
          <w:bCs/>
          <w:color w:val="C00000"/>
          <w:u w:val="single"/>
        </w:rPr>
      </w:pPr>
    </w:p>
    <w:p w14:paraId="51C997B5" w14:textId="77777777" w:rsidR="00DD149D" w:rsidRPr="001C3747" w:rsidRDefault="00DD149D" w:rsidP="00DD149D">
      <w:pPr>
        <w:numPr>
          <w:ilvl w:val="0"/>
          <w:numId w:val="4"/>
        </w:numPr>
        <w:jc w:val="both"/>
        <w:rPr>
          <w:rFonts w:ascii="Arial" w:hAnsi="Arial" w:cs="Arial"/>
        </w:rPr>
      </w:pPr>
      <w:r w:rsidRPr="00995454">
        <w:rPr>
          <w:rFonts w:ascii="Arial" w:hAnsi="Arial" w:cs="Arial"/>
        </w:rPr>
        <w:t>Vous avez payé le forfait et vous avez reçu un mail avec nos commentaires (ou confirmant que nous n’avons pas de commentaires à faire).</w:t>
      </w:r>
    </w:p>
    <w:p w14:paraId="3DCDE12E" w14:textId="77777777" w:rsidR="00DD149D" w:rsidRDefault="00DD149D" w:rsidP="00DD149D">
      <w:pPr>
        <w:pStyle w:val="Paragraphedeliste"/>
        <w:rPr>
          <w:rFonts w:ascii="Arial" w:hAnsi="Arial" w:cs="Arial"/>
        </w:rPr>
      </w:pPr>
    </w:p>
    <w:p w14:paraId="1E44872B" w14:textId="77777777" w:rsidR="00DD149D" w:rsidRDefault="00DD149D" w:rsidP="00DD149D">
      <w:pPr>
        <w:numPr>
          <w:ilvl w:val="0"/>
          <w:numId w:val="4"/>
        </w:numPr>
        <w:jc w:val="both"/>
        <w:rPr>
          <w:rFonts w:ascii="Arial" w:hAnsi="Arial" w:cs="Arial"/>
        </w:rPr>
      </w:pPr>
      <w:r>
        <w:rPr>
          <w:rFonts w:ascii="Arial" w:hAnsi="Arial" w:cs="Arial"/>
        </w:rPr>
        <w:t xml:space="preserve">Vous avez tous deux demandé et obtenu votre certificat de famille, lequel ne doit pas dater de plus de 6 mois et les originaux de ces certificats de famille devront nécessairement être annexés à la documentation que vous enverrez au Tribunal. </w:t>
      </w:r>
    </w:p>
    <w:p w14:paraId="46022DD9" w14:textId="77777777" w:rsidR="00DD149D" w:rsidRDefault="00DD149D" w:rsidP="00DD149D">
      <w:pPr>
        <w:pStyle w:val="Paragraphedeliste"/>
        <w:rPr>
          <w:rFonts w:ascii="Arial" w:hAnsi="Arial" w:cs="Arial"/>
        </w:rPr>
      </w:pPr>
    </w:p>
    <w:p w14:paraId="5CA5C4A2" w14:textId="77777777" w:rsidR="00DD149D" w:rsidRDefault="00DD149D" w:rsidP="00DD149D">
      <w:pPr>
        <w:ind w:left="720"/>
        <w:jc w:val="both"/>
        <w:rPr>
          <w:rFonts w:ascii="Arial" w:hAnsi="Arial" w:cs="Arial"/>
        </w:rPr>
      </w:pPr>
      <w:r>
        <w:rPr>
          <w:rFonts w:ascii="Arial" w:hAnsi="Arial" w:cs="Arial"/>
        </w:rPr>
        <w:t>Pour les citoyens suisses, le certificat de famille se demande à l’Etat civil de la commune d’origine.</w:t>
      </w:r>
    </w:p>
    <w:p w14:paraId="5E755CC8" w14:textId="77777777" w:rsidR="00DD149D" w:rsidRDefault="00DD149D" w:rsidP="00DD149D">
      <w:pPr>
        <w:pStyle w:val="Paragraphedeliste"/>
        <w:jc w:val="right"/>
        <w:rPr>
          <w:rFonts w:ascii="Arial" w:hAnsi="Arial" w:cs="Arial"/>
        </w:rPr>
      </w:pPr>
    </w:p>
    <w:p w14:paraId="57754E01" w14:textId="77777777" w:rsidR="00DD149D" w:rsidRDefault="00DD149D" w:rsidP="00DD149D">
      <w:pPr>
        <w:ind w:left="720"/>
        <w:jc w:val="both"/>
        <w:rPr>
          <w:rFonts w:ascii="Arial" w:hAnsi="Arial" w:cs="Arial"/>
        </w:rPr>
      </w:pPr>
      <w:r>
        <w:rPr>
          <w:rFonts w:ascii="Arial" w:hAnsi="Arial" w:cs="Arial"/>
        </w:rPr>
        <w:t>Si vous êtes de nationalité étrangère, le certificat de famille se demande à l’Etat civil de votre domicile.</w:t>
      </w:r>
    </w:p>
    <w:p w14:paraId="4A3E650A" w14:textId="77777777" w:rsidR="00DD149D" w:rsidRDefault="00DD149D" w:rsidP="00DD149D">
      <w:pPr>
        <w:ind w:left="720"/>
        <w:jc w:val="both"/>
        <w:rPr>
          <w:rFonts w:ascii="Arial" w:hAnsi="Arial" w:cs="Arial"/>
        </w:rPr>
      </w:pPr>
    </w:p>
    <w:p w14:paraId="56B700F4" w14:textId="77777777" w:rsidR="00DD149D" w:rsidRDefault="00DD149D" w:rsidP="00DD149D">
      <w:pPr>
        <w:ind w:left="720"/>
        <w:jc w:val="both"/>
        <w:rPr>
          <w:rFonts w:ascii="Arial" w:hAnsi="Arial" w:cs="Arial"/>
        </w:rPr>
      </w:pPr>
      <w:r>
        <w:rPr>
          <w:rFonts w:ascii="Arial" w:hAnsi="Arial" w:cs="Arial"/>
        </w:rPr>
        <w:t>Utiliser la lettre type ou demander votre certificat de famille directement par internet.</w:t>
      </w:r>
    </w:p>
    <w:p w14:paraId="45AC860E" w14:textId="77777777" w:rsidR="00DD149D" w:rsidRDefault="00DD149D" w:rsidP="00DD149D">
      <w:pPr>
        <w:pStyle w:val="Paragraphedeliste"/>
        <w:rPr>
          <w:rFonts w:ascii="Arial" w:hAnsi="Arial" w:cs="Arial"/>
        </w:rPr>
      </w:pPr>
    </w:p>
    <w:p w14:paraId="069F92C4" w14:textId="77777777" w:rsidR="00DD149D" w:rsidRDefault="00DD149D" w:rsidP="00DD149D">
      <w:pPr>
        <w:pStyle w:val="Paragraphedeliste"/>
        <w:rPr>
          <w:rFonts w:ascii="Arial" w:hAnsi="Arial" w:cs="Arial"/>
        </w:rPr>
      </w:pPr>
    </w:p>
    <w:p w14:paraId="32CE2E37" w14:textId="77777777" w:rsidR="00DD149D" w:rsidRPr="00995454" w:rsidRDefault="00DD149D" w:rsidP="00DD149D">
      <w:pPr>
        <w:spacing w:line="360" w:lineRule="auto"/>
        <w:jc w:val="both"/>
        <w:rPr>
          <w:rFonts w:ascii="Arial" w:hAnsi="Arial" w:cs="Arial"/>
          <w:b/>
          <w:color w:val="C00000"/>
          <w:sz w:val="28"/>
          <w:szCs w:val="28"/>
        </w:rPr>
      </w:pPr>
      <w:r w:rsidRPr="00995454">
        <w:rPr>
          <w:rFonts w:ascii="Arial" w:hAnsi="Arial" w:cs="Arial"/>
          <w:b/>
          <w:color w:val="C00000"/>
          <w:sz w:val="28"/>
          <w:szCs w:val="28"/>
        </w:rPr>
        <w:t>Voici la marche à suivre :</w:t>
      </w:r>
    </w:p>
    <w:p w14:paraId="2ACFB29F" w14:textId="77777777" w:rsidR="00DD149D" w:rsidRPr="00995454" w:rsidRDefault="00DD149D" w:rsidP="00DD149D">
      <w:pPr>
        <w:spacing w:line="360" w:lineRule="auto"/>
        <w:jc w:val="both"/>
        <w:rPr>
          <w:rFonts w:ascii="Arial" w:hAnsi="Arial" w:cs="Arial"/>
        </w:rPr>
      </w:pPr>
    </w:p>
    <w:p w14:paraId="7D0451E7" w14:textId="77777777" w:rsidR="00DD149D" w:rsidRPr="00995454" w:rsidRDefault="00DD149D" w:rsidP="00DD149D">
      <w:pPr>
        <w:numPr>
          <w:ilvl w:val="0"/>
          <w:numId w:val="2"/>
        </w:numPr>
        <w:spacing w:line="360" w:lineRule="auto"/>
        <w:jc w:val="both"/>
        <w:rPr>
          <w:rFonts w:ascii="Arial" w:hAnsi="Arial" w:cs="Arial"/>
          <w:b/>
          <w:color w:val="C00000"/>
          <w:sz w:val="28"/>
          <w:szCs w:val="28"/>
          <w:u w:val="single"/>
        </w:rPr>
      </w:pPr>
      <w:r w:rsidRPr="00995454">
        <w:rPr>
          <w:rFonts w:ascii="Arial" w:hAnsi="Arial" w:cs="Arial"/>
          <w:b/>
          <w:color w:val="C00000"/>
          <w:sz w:val="28"/>
          <w:szCs w:val="28"/>
          <w:u w:val="single"/>
        </w:rPr>
        <w:t xml:space="preserve">Faire les </w:t>
      </w:r>
      <w:r>
        <w:rPr>
          <w:rFonts w:ascii="Arial" w:hAnsi="Arial" w:cs="Arial"/>
          <w:b/>
          <w:color w:val="C00000"/>
          <w:sz w:val="28"/>
          <w:szCs w:val="28"/>
          <w:u w:val="single"/>
        </w:rPr>
        <w:t xml:space="preserve">exemplaires et </w:t>
      </w:r>
      <w:r w:rsidRPr="00995454">
        <w:rPr>
          <w:rFonts w:ascii="Arial" w:hAnsi="Arial" w:cs="Arial"/>
          <w:b/>
          <w:color w:val="C00000"/>
          <w:sz w:val="28"/>
          <w:szCs w:val="28"/>
          <w:u w:val="single"/>
        </w:rPr>
        <w:t>copies</w:t>
      </w:r>
    </w:p>
    <w:p w14:paraId="29C70A73" w14:textId="77777777" w:rsidR="00DD149D" w:rsidRDefault="00DD149D" w:rsidP="00DD149D">
      <w:pPr>
        <w:spacing w:line="360" w:lineRule="auto"/>
        <w:ind w:left="360"/>
        <w:jc w:val="both"/>
      </w:pPr>
    </w:p>
    <w:p w14:paraId="53E8973F" w14:textId="77777777" w:rsidR="00DD149D" w:rsidRPr="00995454" w:rsidRDefault="00DD149D" w:rsidP="00DD149D">
      <w:pPr>
        <w:numPr>
          <w:ilvl w:val="0"/>
          <w:numId w:val="1"/>
        </w:numPr>
        <w:spacing w:after="120"/>
        <w:ind w:left="714" w:hanging="357"/>
        <w:jc w:val="both"/>
        <w:rPr>
          <w:rFonts w:ascii="Arial" w:hAnsi="Arial" w:cs="Arial"/>
        </w:rPr>
      </w:pPr>
      <w:r>
        <w:rPr>
          <w:rFonts w:ascii="Arial" w:hAnsi="Arial" w:cs="Arial"/>
        </w:rPr>
        <w:t>Imprimer</w:t>
      </w:r>
      <w:r w:rsidRPr="00995454">
        <w:rPr>
          <w:rFonts w:ascii="Arial" w:hAnsi="Arial" w:cs="Arial"/>
        </w:rPr>
        <w:t xml:space="preserve"> 3 </w:t>
      </w:r>
      <w:r>
        <w:rPr>
          <w:rFonts w:ascii="Arial" w:hAnsi="Arial" w:cs="Arial"/>
        </w:rPr>
        <w:t>exemplaires</w:t>
      </w:r>
      <w:r w:rsidRPr="00995454">
        <w:rPr>
          <w:rFonts w:ascii="Arial" w:hAnsi="Arial" w:cs="Arial"/>
        </w:rPr>
        <w:t xml:space="preserve"> de la convention, les signer et les agrafer. </w:t>
      </w:r>
    </w:p>
    <w:p w14:paraId="1CFF31F1" w14:textId="77777777" w:rsidR="00DD149D" w:rsidRDefault="00DD149D" w:rsidP="00DD149D">
      <w:pPr>
        <w:numPr>
          <w:ilvl w:val="0"/>
          <w:numId w:val="1"/>
        </w:numPr>
        <w:spacing w:line="360" w:lineRule="auto"/>
        <w:jc w:val="both"/>
        <w:rPr>
          <w:rFonts w:ascii="Arial" w:hAnsi="Arial" w:cs="Arial"/>
        </w:rPr>
      </w:pPr>
      <w:r>
        <w:rPr>
          <w:rFonts w:ascii="Arial" w:hAnsi="Arial" w:cs="Arial"/>
        </w:rPr>
        <w:t>Imprimer</w:t>
      </w:r>
      <w:r w:rsidRPr="00995454">
        <w:rPr>
          <w:rFonts w:ascii="Arial" w:hAnsi="Arial" w:cs="Arial"/>
        </w:rPr>
        <w:t xml:space="preserve"> 3 </w:t>
      </w:r>
      <w:r>
        <w:rPr>
          <w:rFonts w:ascii="Arial" w:hAnsi="Arial" w:cs="Arial"/>
        </w:rPr>
        <w:t>exemplaires</w:t>
      </w:r>
      <w:r w:rsidRPr="00995454">
        <w:rPr>
          <w:rFonts w:ascii="Arial" w:hAnsi="Arial" w:cs="Arial"/>
        </w:rPr>
        <w:t xml:space="preserve"> des budgets avant / après séparation.et les signer</w:t>
      </w:r>
      <w:r>
        <w:rPr>
          <w:rFonts w:ascii="Arial" w:hAnsi="Arial" w:cs="Arial"/>
        </w:rPr>
        <w:t>.</w:t>
      </w:r>
    </w:p>
    <w:p w14:paraId="052BAD2A" w14:textId="77777777" w:rsidR="00DD149D" w:rsidRDefault="00DD149D" w:rsidP="00DD149D">
      <w:pPr>
        <w:numPr>
          <w:ilvl w:val="0"/>
          <w:numId w:val="1"/>
        </w:numPr>
        <w:spacing w:line="360" w:lineRule="auto"/>
        <w:jc w:val="both"/>
        <w:rPr>
          <w:rFonts w:ascii="Arial" w:hAnsi="Arial" w:cs="Arial"/>
        </w:rPr>
      </w:pPr>
      <w:r>
        <w:rPr>
          <w:rFonts w:ascii="Arial" w:hAnsi="Arial" w:cs="Arial"/>
        </w:rPr>
        <w:t>Faire le budget avec minimums vitaux</w:t>
      </w:r>
    </w:p>
    <w:p w14:paraId="779EEA17" w14:textId="77777777" w:rsidR="00DD149D" w:rsidRPr="001C6AC0" w:rsidRDefault="00DD149D" w:rsidP="00DD149D">
      <w:pPr>
        <w:numPr>
          <w:ilvl w:val="0"/>
          <w:numId w:val="1"/>
        </w:numPr>
        <w:spacing w:after="120"/>
        <w:jc w:val="both"/>
        <w:rPr>
          <w:rFonts w:ascii="Arial" w:hAnsi="Arial" w:cs="Arial"/>
        </w:rPr>
      </w:pPr>
      <w:r>
        <w:rPr>
          <w:rFonts w:ascii="Arial" w:hAnsi="Arial" w:cs="Arial"/>
        </w:rPr>
        <w:t>Imprimer 3 exemplaires du tableau de l’entretien convenable (un par enfant) et les signer (trois originaux).</w:t>
      </w:r>
    </w:p>
    <w:p w14:paraId="26875949" w14:textId="77777777" w:rsidR="00DD149D" w:rsidRPr="00995454" w:rsidRDefault="00DD149D" w:rsidP="00DD149D">
      <w:pPr>
        <w:numPr>
          <w:ilvl w:val="0"/>
          <w:numId w:val="1"/>
        </w:numPr>
        <w:spacing w:after="120"/>
        <w:ind w:left="714" w:hanging="357"/>
        <w:jc w:val="both"/>
        <w:rPr>
          <w:rFonts w:ascii="Arial" w:hAnsi="Arial" w:cs="Arial"/>
        </w:rPr>
      </w:pPr>
      <w:r w:rsidRPr="00995454">
        <w:rPr>
          <w:rFonts w:ascii="Arial" w:hAnsi="Arial" w:cs="Arial"/>
        </w:rPr>
        <w:t xml:space="preserve">Préparer 3 copies des pièces </w:t>
      </w:r>
      <w:r>
        <w:rPr>
          <w:rFonts w:ascii="Arial" w:hAnsi="Arial" w:cs="Arial"/>
        </w:rPr>
        <w:t xml:space="preserve">à </w:t>
      </w:r>
      <w:r w:rsidRPr="00995454">
        <w:rPr>
          <w:rFonts w:ascii="Arial" w:hAnsi="Arial" w:cs="Arial"/>
        </w:rPr>
        <w:t>annex</w:t>
      </w:r>
      <w:r>
        <w:rPr>
          <w:rFonts w:ascii="Arial" w:hAnsi="Arial" w:cs="Arial"/>
        </w:rPr>
        <w:t>er</w:t>
      </w:r>
      <w:r w:rsidRPr="00995454">
        <w:rPr>
          <w:rFonts w:ascii="Arial" w:hAnsi="Arial" w:cs="Arial"/>
        </w:rPr>
        <w:t xml:space="preserve"> à la </w:t>
      </w:r>
      <w:r>
        <w:rPr>
          <w:rFonts w:ascii="Arial" w:hAnsi="Arial" w:cs="Arial"/>
        </w:rPr>
        <w:t xml:space="preserve">convention </w:t>
      </w:r>
      <w:r w:rsidRPr="00995454">
        <w:rPr>
          <w:rFonts w:ascii="Arial" w:hAnsi="Arial" w:cs="Arial"/>
        </w:rPr>
        <w:t xml:space="preserve">(ces pièces sont indiquées à la fin de la </w:t>
      </w:r>
      <w:r>
        <w:rPr>
          <w:rFonts w:ascii="Arial" w:hAnsi="Arial" w:cs="Arial"/>
        </w:rPr>
        <w:t>convention</w:t>
      </w:r>
      <w:r w:rsidRPr="00995454">
        <w:rPr>
          <w:rFonts w:ascii="Arial" w:hAnsi="Arial" w:cs="Arial"/>
        </w:rPr>
        <w:t xml:space="preserve">. </w:t>
      </w:r>
    </w:p>
    <w:p w14:paraId="317912C6" w14:textId="77777777" w:rsidR="00DD149D" w:rsidRDefault="00DD149D" w:rsidP="00DD149D">
      <w:pPr>
        <w:spacing w:after="120"/>
        <w:ind w:left="714"/>
        <w:jc w:val="both"/>
        <w:rPr>
          <w:rFonts w:ascii="Arial" w:hAnsi="Arial" w:cs="Arial"/>
        </w:rPr>
      </w:pPr>
      <w:r w:rsidRPr="00995454">
        <w:rPr>
          <w:rFonts w:ascii="Arial" w:hAnsi="Arial" w:cs="Arial"/>
        </w:rPr>
        <w:t xml:space="preserve">Dans l’un des trois jeux de pièces figureront les </w:t>
      </w:r>
      <w:r w:rsidRPr="00995454">
        <w:rPr>
          <w:rFonts w:ascii="Arial" w:hAnsi="Arial" w:cs="Arial"/>
          <w:b/>
          <w:bCs/>
          <w:color w:val="C00000"/>
        </w:rPr>
        <w:t>originaux</w:t>
      </w:r>
      <w:r w:rsidRPr="00995454">
        <w:rPr>
          <w:rFonts w:ascii="Arial" w:hAnsi="Arial" w:cs="Arial"/>
        </w:rPr>
        <w:t xml:space="preserve"> des acte</w:t>
      </w:r>
      <w:r>
        <w:rPr>
          <w:rFonts w:ascii="Arial" w:hAnsi="Arial" w:cs="Arial"/>
        </w:rPr>
        <w:t>s</w:t>
      </w:r>
      <w:r w:rsidRPr="00995454">
        <w:rPr>
          <w:rFonts w:ascii="Arial" w:hAnsi="Arial" w:cs="Arial"/>
        </w:rPr>
        <w:t xml:space="preserve"> de famille</w:t>
      </w:r>
      <w:r>
        <w:rPr>
          <w:rFonts w:ascii="Arial" w:hAnsi="Arial" w:cs="Arial"/>
        </w:rPr>
        <w:t xml:space="preserve">. </w:t>
      </w:r>
      <w:r w:rsidRPr="00995454">
        <w:rPr>
          <w:rFonts w:ascii="Arial" w:hAnsi="Arial" w:cs="Arial"/>
        </w:rPr>
        <w:t>C’est ce jeu de pièces comprenant ces originaux qui sera envoyé au Tribunal. Les autres pièces ne seront que des copies.</w:t>
      </w:r>
    </w:p>
    <w:p w14:paraId="0CD1F3D3" w14:textId="77777777" w:rsidR="00DD149D" w:rsidRPr="00995454" w:rsidRDefault="00DD149D" w:rsidP="00DD149D">
      <w:pPr>
        <w:spacing w:after="120"/>
        <w:ind w:left="714"/>
        <w:jc w:val="both"/>
        <w:rPr>
          <w:rFonts w:ascii="Arial" w:hAnsi="Arial" w:cs="Arial"/>
        </w:rPr>
      </w:pPr>
      <w:r>
        <w:rPr>
          <w:rFonts w:ascii="Arial" w:hAnsi="Arial" w:cs="Arial"/>
        </w:rPr>
        <w:t>Télécharger la lettre d’accompagnement et la signer</w:t>
      </w:r>
    </w:p>
    <w:p w14:paraId="6D839A79" w14:textId="77777777" w:rsidR="00DD149D" w:rsidRDefault="00DD149D" w:rsidP="00DD149D">
      <w:pPr>
        <w:spacing w:after="120"/>
        <w:ind w:left="714"/>
        <w:jc w:val="both"/>
        <w:rPr>
          <w:rFonts w:ascii="Arial" w:hAnsi="Arial" w:cs="Arial"/>
        </w:rPr>
      </w:pPr>
    </w:p>
    <w:p w14:paraId="6CCA1654" w14:textId="77777777" w:rsidR="00DD149D" w:rsidRDefault="00DD149D" w:rsidP="00DD149D">
      <w:pPr>
        <w:numPr>
          <w:ilvl w:val="0"/>
          <w:numId w:val="1"/>
        </w:numPr>
        <w:spacing w:after="120"/>
        <w:ind w:left="714" w:hanging="357"/>
        <w:jc w:val="both"/>
        <w:rPr>
          <w:rFonts w:ascii="Arial" w:hAnsi="Arial" w:cs="Arial"/>
        </w:rPr>
      </w:pPr>
      <w:r>
        <w:rPr>
          <w:rFonts w:ascii="Arial" w:hAnsi="Arial" w:cs="Arial"/>
        </w:rPr>
        <w:t>Si l’un ou l’autre est domicilié(e) à l’étranger, télécharger la lettre d’élection de domicile en Suisse depuis « Mon compte » et la signer.</w:t>
      </w:r>
    </w:p>
    <w:p w14:paraId="1FC796D1" w14:textId="77777777" w:rsidR="00DD149D" w:rsidRDefault="00DD149D" w:rsidP="00DD149D">
      <w:pPr>
        <w:spacing w:after="120"/>
        <w:ind w:left="714"/>
        <w:jc w:val="both"/>
        <w:rPr>
          <w:rFonts w:ascii="Arial" w:hAnsi="Arial" w:cs="Arial"/>
        </w:rPr>
      </w:pPr>
    </w:p>
    <w:p w14:paraId="46F1A4F8" w14:textId="77777777" w:rsidR="00DD149D" w:rsidRPr="00995454" w:rsidRDefault="00DD149D" w:rsidP="00DD149D">
      <w:pPr>
        <w:spacing w:after="120"/>
        <w:ind w:left="714"/>
        <w:jc w:val="both"/>
        <w:rPr>
          <w:rFonts w:ascii="Arial" w:hAnsi="Arial" w:cs="Arial"/>
        </w:rPr>
      </w:pPr>
      <w:r w:rsidRPr="00995454">
        <w:rPr>
          <w:rFonts w:ascii="Arial" w:hAnsi="Arial" w:cs="Arial"/>
        </w:rPr>
        <w:lastRenderedPageBreak/>
        <w:t>En résumé :</w:t>
      </w:r>
    </w:p>
    <w:p w14:paraId="3F529E27" w14:textId="77777777" w:rsidR="00DD149D" w:rsidRPr="001C6AC0" w:rsidRDefault="00DD149D" w:rsidP="00DD149D">
      <w:pPr>
        <w:numPr>
          <w:ilvl w:val="0"/>
          <w:numId w:val="3"/>
        </w:numPr>
        <w:spacing w:after="120"/>
        <w:jc w:val="both"/>
        <w:rPr>
          <w:rFonts w:ascii="Arial" w:hAnsi="Arial" w:cs="Arial"/>
        </w:rPr>
      </w:pPr>
      <w:r w:rsidRPr="001C6AC0">
        <w:rPr>
          <w:rFonts w:ascii="Arial" w:hAnsi="Arial" w:cs="Arial"/>
        </w:rPr>
        <w:t>Le Tribunal reçoit les originaux signés de la convention, budgets, le(s) tableau(x) de l’entretien convenable et le jeu de pièces dans lequel il y a les originaux des certificats de famille et la lettre d’accompagnement.</w:t>
      </w:r>
    </w:p>
    <w:p w14:paraId="5F8A12C3" w14:textId="77777777" w:rsidR="00DD149D" w:rsidRPr="001C6AC0" w:rsidRDefault="00DD149D" w:rsidP="00DD149D">
      <w:pPr>
        <w:numPr>
          <w:ilvl w:val="0"/>
          <w:numId w:val="3"/>
        </w:numPr>
        <w:spacing w:after="120"/>
        <w:jc w:val="both"/>
        <w:rPr>
          <w:rFonts w:ascii="Arial" w:hAnsi="Arial" w:cs="Arial"/>
        </w:rPr>
      </w:pPr>
      <w:r w:rsidRPr="001C6AC0">
        <w:rPr>
          <w:rFonts w:ascii="Arial" w:hAnsi="Arial" w:cs="Arial"/>
        </w:rPr>
        <w:t>Chacun garde un jeu complet de ce qui a été envoyé au Tribunal, soit originaux signés de la convention, budgets, tableau(x) de l’entretien convenable et copie des pièces et lettre(s).</w:t>
      </w:r>
    </w:p>
    <w:p w14:paraId="4EFE9F73" w14:textId="77777777" w:rsidR="00DD149D" w:rsidRDefault="00DD149D" w:rsidP="00DD149D">
      <w:pPr>
        <w:spacing w:line="360" w:lineRule="auto"/>
        <w:ind w:left="360"/>
        <w:jc w:val="both"/>
      </w:pPr>
    </w:p>
    <w:p w14:paraId="1937EC1A" w14:textId="77777777" w:rsidR="00DD149D" w:rsidRPr="00995454" w:rsidRDefault="00DD149D" w:rsidP="00DD149D">
      <w:pPr>
        <w:numPr>
          <w:ilvl w:val="0"/>
          <w:numId w:val="2"/>
        </w:numPr>
        <w:spacing w:after="120"/>
        <w:ind w:left="714" w:hanging="357"/>
        <w:jc w:val="both"/>
        <w:rPr>
          <w:rFonts w:ascii="Arial" w:hAnsi="Arial" w:cs="Arial"/>
          <w:b/>
          <w:color w:val="C00000"/>
          <w:sz w:val="28"/>
          <w:szCs w:val="28"/>
          <w:u w:val="single"/>
        </w:rPr>
      </w:pPr>
      <w:r w:rsidRPr="00995454">
        <w:rPr>
          <w:rFonts w:ascii="Arial" w:hAnsi="Arial" w:cs="Arial"/>
          <w:b/>
          <w:color w:val="C00000"/>
          <w:sz w:val="28"/>
          <w:szCs w:val="28"/>
          <w:u w:val="single"/>
        </w:rPr>
        <w:t>Déposer / envoyer</w:t>
      </w:r>
    </w:p>
    <w:p w14:paraId="11695573" w14:textId="77777777" w:rsidR="00DD149D" w:rsidRDefault="00DD149D" w:rsidP="00DD149D">
      <w:pPr>
        <w:spacing w:line="360" w:lineRule="auto"/>
        <w:ind w:left="360"/>
        <w:jc w:val="both"/>
        <w:rPr>
          <w:u w:val="single"/>
        </w:rPr>
      </w:pPr>
    </w:p>
    <w:p w14:paraId="10FFD281" w14:textId="3EB92002" w:rsidR="00DD149D" w:rsidRPr="00BF485B" w:rsidRDefault="00DD149D" w:rsidP="00DD149D">
      <w:pPr>
        <w:spacing w:after="120"/>
        <w:ind w:left="357"/>
        <w:jc w:val="both"/>
        <w:rPr>
          <w:rFonts w:ascii="Arial" w:hAnsi="Arial" w:cs="Arial"/>
        </w:rPr>
      </w:pPr>
      <w:r w:rsidRPr="00BF485B">
        <w:rPr>
          <w:rFonts w:ascii="Arial" w:hAnsi="Arial" w:cs="Arial"/>
        </w:rPr>
        <w:t xml:space="preserve">Déposer / envoyer au Tribunal (l’adresse figure sur la requête) un jeu complet de la documentation dûment signée par les deux (convention, budgets, tableau(x) de l’entretien convenable), les pièces (dans le jeu de pièces, </w:t>
      </w:r>
      <w:r w:rsidRPr="00BF485B">
        <w:rPr>
          <w:rFonts w:ascii="Arial" w:hAnsi="Arial" w:cs="Arial"/>
          <w:b/>
          <w:bCs/>
          <w:color w:val="C00000"/>
        </w:rPr>
        <w:t>original</w:t>
      </w:r>
      <w:r w:rsidRPr="00BF485B">
        <w:rPr>
          <w:rFonts w:ascii="Arial" w:hAnsi="Arial" w:cs="Arial"/>
        </w:rPr>
        <w:t xml:space="preserve"> des certificats de famille, le reste des pièces sont des copies) ainsi que la lettre d’accompagnement et celle de l’élection de domicile (si l’un des deux est domicilié à</w:t>
      </w:r>
      <w:r w:rsidR="00BF485B" w:rsidRPr="00BF485B">
        <w:rPr>
          <w:rFonts w:ascii="Arial" w:hAnsi="Arial" w:cs="Arial"/>
        </w:rPr>
        <w:t xml:space="preserve"> </w:t>
      </w:r>
      <w:r w:rsidRPr="00BF485B">
        <w:rPr>
          <w:rFonts w:ascii="Arial" w:hAnsi="Arial" w:cs="Arial"/>
        </w:rPr>
        <w:t xml:space="preserve">l’étranger). </w:t>
      </w:r>
    </w:p>
    <w:p w14:paraId="413B5B68" w14:textId="77777777" w:rsidR="00DD149D" w:rsidRPr="00995454" w:rsidRDefault="00DD149D" w:rsidP="00DD149D">
      <w:pPr>
        <w:ind w:left="360"/>
        <w:jc w:val="both"/>
        <w:rPr>
          <w:rFonts w:ascii="Arial" w:hAnsi="Arial" w:cs="Arial"/>
        </w:rPr>
      </w:pPr>
      <w:r w:rsidRPr="00BF485B">
        <w:rPr>
          <w:rFonts w:ascii="Arial" w:hAnsi="Arial" w:cs="Arial"/>
        </w:rPr>
        <w:t>Envoi en recommandé de</w:t>
      </w:r>
      <w:r w:rsidRPr="00995454">
        <w:rPr>
          <w:rFonts w:ascii="Arial" w:hAnsi="Arial" w:cs="Arial"/>
        </w:rPr>
        <w:t xml:space="preserve"> préférence.</w:t>
      </w:r>
    </w:p>
    <w:p w14:paraId="1D2E75A2" w14:textId="77777777" w:rsidR="00DD149D" w:rsidRDefault="00DD149D" w:rsidP="00DD149D">
      <w:pPr>
        <w:ind w:left="360"/>
        <w:jc w:val="both"/>
        <w:rPr>
          <w:rFonts w:ascii="Arial" w:hAnsi="Arial" w:cs="Arial"/>
        </w:rPr>
      </w:pPr>
    </w:p>
    <w:p w14:paraId="1A637AF5" w14:textId="48A67973" w:rsidR="00DD149D" w:rsidRPr="00995454" w:rsidRDefault="00DD149D" w:rsidP="00DD149D">
      <w:pPr>
        <w:ind w:left="357"/>
        <w:jc w:val="both"/>
        <w:rPr>
          <w:rFonts w:ascii="Arial" w:hAnsi="Arial" w:cs="Arial"/>
        </w:rPr>
      </w:pPr>
      <w:r>
        <w:rPr>
          <w:rFonts w:ascii="Arial" w:hAnsi="Arial" w:cs="Arial"/>
        </w:rPr>
        <w:t xml:space="preserve">Si vous êtes au bénéfice de </w:t>
      </w:r>
      <w:hyperlink r:id="rId5" w:history="1">
        <w:r w:rsidRPr="005C4F4E">
          <w:rPr>
            <w:rStyle w:val="Lienhypertexte"/>
            <w:rFonts w:ascii="Arial" w:hAnsi="Arial" w:cs="Arial"/>
          </w:rPr>
          <w:t>l’assistance judiciaire / juridique</w:t>
        </w:r>
      </w:hyperlink>
      <w:r w:rsidRPr="00BF485B">
        <w:rPr>
          <w:rFonts w:ascii="Arial" w:hAnsi="Arial" w:cs="Arial"/>
        </w:rPr>
        <w:t>, mettre une copie de la décision en première page</w:t>
      </w:r>
      <w:r>
        <w:rPr>
          <w:rFonts w:ascii="Arial" w:hAnsi="Arial" w:cs="Arial"/>
        </w:rPr>
        <w:t xml:space="preserve"> du dossier que vous envoyez au Tribunal.</w:t>
      </w:r>
    </w:p>
    <w:p w14:paraId="1836B33B" w14:textId="77777777" w:rsidR="00DD149D" w:rsidRPr="00995454" w:rsidRDefault="00DD149D" w:rsidP="00DD149D">
      <w:pPr>
        <w:spacing w:line="360" w:lineRule="auto"/>
        <w:jc w:val="both"/>
        <w:rPr>
          <w:rFonts w:ascii="Arial" w:hAnsi="Arial" w:cs="Arial"/>
          <w:u w:val="single"/>
        </w:rPr>
      </w:pPr>
    </w:p>
    <w:p w14:paraId="05869570" w14:textId="77777777" w:rsidR="00DD149D" w:rsidRPr="00995454" w:rsidRDefault="00DD149D" w:rsidP="00DD149D">
      <w:pPr>
        <w:numPr>
          <w:ilvl w:val="0"/>
          <w:numId w:val="2"/>
        </w:numPr>
        <w:spacing w:line="360" w:lineRule="auto"/>
        <w:jc w:val="both"/>
        <w:rPr>
          <w:rFonts w:ascii="Arial" w:hAnsi="Arial" w:cs="Arial"/>
          <w:b/>
          <w:color w:val="C00000"/>
          <w:sz w:val="28"/>
          <w:szCs w:val="28"/>
          <w:u w:val="single"/>
        </w:rPr>
      </w:pPr>
      <w:r w:rsidRPr="00995454">
        <w:rPr>
          <w:rFonts w:ascii="Arial" w:hAnsi="Arial" w:cs="Arial"/>
          <w:b/>
          <w:color w:val="C00000"/>
          <w:sz w:val="28"/>
          <w:szCs w:val="28"/>
          <w:u w:val="single"/>
        </w:rPr>
        <w:t>Payer les droits de greffe</w:t>
      </w:r>
    </w:p>
    <w:p w14:paraId="171F919C" w14:textId="77777777" w:rsidR="00DD149D" w:rsidRDefault="00DD149D" w:rsidP="00DD149D">
      <w:pPr>
        <w:spacing w:line="360" w:lineRule="auto"/>
        <w:ind w:left="360"/>
        <w:jc w:val="both"/>
        <w:rPr>
          <w:u w:val="single"/>
        </w:rPr>
      </w:pPr>
    </w:p>
    <w:p w14:paraId="3121C1E1" w14:textId="579F1C30" w:rsidR="00DD149D" w:rsidRPr="00BF485B" w:rsidRDefault="00DD149D" w:rsidP="00DD149D">
      <w:pPr>
        <w:ind w:left="357"/>
        <w:jc w:val="both"/>
        <w:rPr>
          <w:rFonts w:ascii="Arial" w:hAnsi="Arial" w:cs="Arial"/>
        </w:rPr>
      </w:pPr>
      <w:r w:rsidRPr="00BF485B">
        <w:rPr>
          <w:rFonts w:ascii="Arial" w:hAnsi="Arial" w:cs="Arial"/>
        </w:rPr>
        <w:t xml:space="preserve">Le Tribunal vous demandera de payer </w:t>
      </w:r>
      <w:hyperlink r:id="rId6" w:history="1">
        <w:r w:rsidRPr="005C4F4E">
          <w:rPr>
            <w:rStyle w:val="Lienhypertexte"/>
            <w:rFonts w:ascii="Arial" w:hAnsi="Arial" w:cs="Arial"/>
          </w:rPr>
          <w:t>les droits de greffe</w:t>
        </w:r>
      </w:hyperlink>
      <w:r w:rsidRPr="00BF485B">
        <w:rPr>
          <w:rFonts w:ascii="Arial" w:hAnsi="Arial" w:cs="Arial"/>
        </w:rPr>
        <w:t xml:space="preserve">. Si vous ne les payez pas, le Tribunal ne s’occupera pas de votre affaire. </w:t>
      </w:r>
      <w:bookmarkStart w:id="0" w:name="_Hlk63838910"/>
      <w:r w:rsidRPr="00BF485B">
        <w:rPr>
          <w:rFonts w:ascii="Arial" w:hAnsi="Arial" w:cs="Arial"/>
        </w:rPr>
        <w:t xml:space="preserve">Si vous êtes au bénéfice de </w:t>
      </w:r>
      <w:hyperlink r:id="rId7" w:history="1">
        <w:r w:rsidRPr="005C4F4E">
          <w:rPr>
            <w:rStyle w:val="Lienhypertexte"/>
            <w:rFonts w:ascii="Arial" w:hAnsi="Arial" w:cs="Arial"/>
          </w:rPr>
          <w:t>l’assistance judiciaire / juridique</w:t>
        </w:r>
      </w:hyperlink>
      <w:r w:rsidRPr="00BF485B">
        <w:rPr>
          <w:rFonts w:ascii="Arial" w:hAnsi="Arial" w:cs="Arial"/>
        </w:rPr>
        <w:t>, le Tribunal ne vous demandera alors pas de payer les droits de greffe</w:t>
      </w:r>
    </w:p>
    <w:bookmarkEnd w:id="0"/>
    <w:p w14:paraId="7717A736" w14:textId="77777777" w:rsidR="00DD149D" w:rsidRDefault="00DD149D" w:rsidP="00DD149D">
      <w:pPr>
        <w:ind w:left="357"/>
        <w:jc w:val="both"/>
        <w:rPr>
          <w:rFonts w:ascii="Arial" w:hAnsi="Arial" w:cs="Arial"/>
        </w:rPr>
      </w:pPr>
    </w:p>
    <w:p w14:paraId="6176CA29" w14:textId="77777777" w:rsidR="00DD149D" w:rsidRPr="00995454" w:rsidRDefault="00DD149D" w:rsidP="00DD149D">
      <w:pPr>
        <w:ind w:left="357"/>
        <w:jc w:val="both"/>
        <w:rPr>
          <w:rFonts w:ascii="Arial" w:hAnsi="Arial" w:cs="Arial"/>
        </w:rPr>
      </w:pPr>
    </w:p>
    <w:p w14:paraId="2536775D" w14:textId="77777777" w:rsidR="00DD149D" w:rsidRPr="00995454" w:rsidRDefault="00DD149D" w:rsidP="00DD149D">
      <w:pPr>
        <w:numPr>
          <w:ilvl w:val="0"/>
          <w:numId w:val="2"/>
        </w:numPr>
        <w:spacing w:line="360" w:lineRule="auto"/>
        <w:jc w:val="both"/>
        <w:rPr>
          <w:rFonts w:ascii="Arial" w:hAnsi="Arial" w:cs="Arial"/>
          <w:b/>
          <w:color w:val="C00000"/>
          <w:sz w:val="28"/>
          <w:szCs w:val="28"/>
          <w:u w:val="single"/>
        </w:rPr>
      </w:pPr>
      <w:r w:rsidRPr="00995454">
        <w:rPr>
          <w:rFonts w:ascii="Arial" w:hAnsi="Arial" w:cs="Arial"/>
          <w:b/>
          <w:color w:val="C00000"/>
          <w:sz w:val="28"/>
          <w:szCs w:val="28"/>
          <w:u w:val="single"/>
        </w:rPr>
        <w:t>Attendre</w:t>
      </w:r>
    </w:p>
    <w:p w14:paraId="358DF6EA" w14:textId="77777777" w:rsidR="00DD149D" w:rsidRPr="00995454" w:rsidRDefault="00DD149D" w:rsidP="00DD149D">
      <w:pPr>
        <w:spacing w:line="360" w:lineRule="auto"/>
        <w:ind w:left="360"/>
        <w:jc w:val="both"/>
        <w:rPr>
          <w:rFonts w:ascii="Arial" w:hAnsi="Arial" w:cs="Arial"/>
          <w:u w:val="single"/>
        </w:rPr>
      </w:pPr>
    </w:p>
    <w:p w14:paraId="22463777" w14:textId="77777777" w:rsidR="00DD149D" w:rsidRDefault="00DD149D" w:rsidP="00DD149D">
      <w:pPr>
        <w:spacing w:line="360" w:lineRule="auto"/>
        <w:ind w:left="360"/>
        <w:jc w:val="both"/>
        <w:rPr>
          <w:rFonts w:ascii="Arial" w:hAnsi="Arial" w:cs="Arial"/>
        </w:rPr>
      </w:pPr>
      <w:r w:rsidRPr="00995454">
        <w:rPr>
          <w:rFonts w:ascii="Arial" w:hAnsi="Arial" w:cs="Arial"/>
        </w:rPr>
        <w:t>Attendre la convocation par le Tribunal (2 ou 3 semaines).</w:t>
      </w:r>
    </w:p>
    <w:p w14:paraId="7ACA9C81" w14:textId="77777777" w:rsidR="00DD149D" w:rsidRDefault="00DD149D" w:rsidP="00DD149D">
      <w:pPr>
        <w:spacing w:line="360" w:lineRule="auto"/>
        <w:ind w:left="360"/>
        <w:jc w:val="both"/>
        <w:rPr>
          <w:rFonts w:ascii="Arial" w:hAnsi="Arial" w:cs="Arial"/>
        </w:rPr>
      </w:pPr>
    </w:p>
    <w:p w14:paraId="49E2FD9E" w14:textId="77777777" w:rsidR="00DD149D" w:rsidRPr="00995454" w:rsidRDefault="00DD149D" w:rsidP="00DD149D">
      <w:pPr>
        <w:numPr>
          <w:ilvl w:val="0"/>
          <w:numId w:val="2"/>
        </w:numPr>
        <w:spacing w:line="360" w:lineRule="auto"/>
        <w:jc w:val="both"/>
        <w:rPr>
          <w:rFonts w:ascii="Arial" w:hAnsi="Arial" w:cs="Arial"/>
          <w:b/>
          <w:color w:val="C00000"/>
          <w:sz w:val="28"/>
          <w:szCs w:val="28"/>
        </w:rPr>
      </w:pPr>
      <w:r w:rsidRPr="00995454">
        <w:rPr>
          <w:rFonts w:ascii="Arial" w:hAnsi="Arial" w:cs="Arial"/>
          <w:b/>
          <w:color w:val="C00000"/>
          <w:sz w:val="28"/>
          <w:szCs w:val="28"/>
          <w:u w:val="single"/>
        </w:rPr>
        <w:t>Le Juge a fixé une audience</w:t>
      </w:r>
    </w:p>
    <w:p w14:paraId="242880E0" w14:textId="77777777" w:rsidR="00DD149D" w:rsidRPr="00950582" w:rsidRDefault="00DD149D" w:rsidP="00DD149D">
      <w:pPr>
        <w:spacing w:line="360" w:lineRule="auto"/>
        <w:ind w:left="360"/>
        <w:jc w:val="both"/>
      </w:pPr>
    </w:p>
    <w:p w14:paraId="40E4C91F" w14:textId="77777777" w:rsidR="00DD149D" w:rsidRDefault="00DD149D" w:rsidP="00DD149D">
      <w:pPr>
        <w:ind w:left="357"/>
        <w:jc w:val="both"/>
        <w:rPr>
          <w:rFonts w:ascii="Arial" w:hAnsi="Arial" w:cs="Arial"/>
        </w:rPr>
      </w:pPr>
      <w:r w:rsidRPr="00995454">
        <w:rPr>
          <w:rFonts w:ascii="Arial" w:hAnsi="Arial" w:cs="Arial"/>
        </w:rPr>
        <w:t>Le</w:t>
      </w:r>
      <w:r>
        <w:rPr>
          <w:rFonts w:ascii="Arial" w:hAnsi="Arial" w:cs="Arial"/>
        </w:rPr>
        <w:t xml:space="preserve"> Tribunal</w:t>
      </w:r>
      <w:r w:rsidRPr="00995454">
        <w:rPr>
          <w:rFonts w:ascii="Arial" w:hAnsi="Arial" w:cs="Arial"/>
        </w:rPr>
        <w:t xml:space="preserve"> a fixé une audience, vous recevez la convocation : allez-y ! (</w:t>
      </w:r>
      <w:proofErr w:type="gramStart"/>
      <w:r w:rsidRPr="00995454">
        <w:rPr>
          <w:rFonts w:ascii="Arial" w:hAnsi="Arial" w:cs="Arial"/>
        </w:rPr>
        <w:t>sauf</w:t>
      </w:r>
      <w:proofErr w:type="gramEnd"/>
      <w:r w:rsidRPr="00995454">
        <w:rPr>
          <w:rFonts w:ascii="Arial" w:hAnsi="Arial" w:cs="Arial"/>
        </w:rPr>
        <w:t xml:space="preserve"> si le Tribunal a mis dans la convocation que la présence physique de l’un ou de l’autre n’est pas nécessaire).</w:t>
      </w:r>
    </w:p>
    <w:p w14:paraId="2404897F" w14:textId="77777777" w:rsidR="00DD149D" w:rsidRPr="00995454" w:rsidRDefault="00DD149D" w:rsidP="00DD149D">
      <w:pPr>
        <w:ind w:left="357"/>
        <w:jc w:val="both"/>
        <w:rPr>
          <w:rFonts w:ascii="Arial" w:hAnsi="Arial" w:cs="Arial"/>
        </w:rPr>
      </w:pPr>
    </w:p>
    <w:p w14:paraId="5D1BA1CE" w14:textId="77777777" w:rsidR="00DD149D" w:rsidRDefault="00DD149D" w:rsidP="00DD149D">
      <w:pPr>
        <w:ind w:left="360"/>
        <w:jc w:val="both"/>
        <w:rPr>
          <w:rFonts w:ascii="Arial" w:hAnsi="Arial" w:cs="Arial"/>
        </w:rPr>
      </w:pPr>
      <w:r w:rsidRPr="00995454">
        <w:rPr>
          <w:rFonts w:ascii="Arial" w:hAnsi="Arial" w:cs="Arial"/>
        </w:rPr>
        <w:t>Si l’un</w:t>
      </w:r>
      <w:r>
        <w:rPr>
          <w:rFonts w:ascii="Arial" w:hAnsi="Arial" w:cs="Arial"/>
        </w:rPr>
        <w:t>(e)</w:t>
      </w:r>
      <w:r w:rsidRPr="00995454">
        <w:rPr>
          <w:rFonts w:ascii="Arial" w:hAnsi="Arial" w:cs="Arial"/>
        </w:rPr>
        <w:t xml:space="preserve"> des </w:t>
      </w:r>
      <w:r w:rsidRPr="001C6AC0">
        <w:rPr>
          <w:rFonts w:ascii="Arial" w:hAnsi="Arial" w:cs="Arial"/>
        </w:rPr>
        <w:t>deux</w:t>
      </w:r>
      <w:r w:rsidRPr="00995454">
        <w:rPr>
          <w:rFonts w:ascii="Arial" w:hAnsi="Arial" w:cs="Arial"/>
        </w:rPr>
        <w:t xml:space="preserve"> le souhaite, il/elle peut demander à être entendu(e) séparément.</w:t>
      </w:r>
    </w:p>
    <w:p w14:paraId="081B3F6B" w14:textId="77777777" w:rsidR="00DD149D" w:rsidRPr="00995454" w:rsidRDefault="00DD149D" w:rsidP="00DD149D">
      <w:pPr>
        <w:ind w:left="360"/>
        <w:jc w:val="both"/>
        <w:rPr>
          <w:rFonts w:ascii="Arial" w:hAnsi="Arial" w:cs="Arial"/>
        </w:rPr>
      </w:pPr>
    </w:p>
    <w:p w14:paraId="185CAEB6" w14:textId="77777777" w:rsidR="00DD149D" w:rsidRDefault="00DD149D" w:rsidP="00DD149D">
      <w:pPr>
        <w:ind w:left="360"/>
        <w:jc w:val="both"/>
        <w:rPr>
          <w:rFonts w:ascii="Arial" w:hAnsi="Arial" w:cs="Arial"/>
        </w:rPr>
      </w:pPr>
      <w:r w:rsidRPr="00995454">
        <w:rPr>
          <w:rFonts w:ascii="Arial" w:hAnsi="Arial" w:cs="Arial"/>
        </w:rPr>
        <w:lastRenderedPageBreak/>
        <w:t>L’audience ne dure que 30 minutes environ.</w:t>
      </w:r>
    </w:p>
    <w:p w14:paraId="36A7307E" w14:textId="77777777" w:rsidR="00DD149D" w:rsidRPr="00995454" w:rsidRDefault="00DD149D" w:rsidP="00DD149D">
      <w:pPr>
        <w:ind w:left="360"/>
        <w:jc w:val="both"/>
        <w:rPr>
          <w:rFonts w:ascii="Arial" w:hAnsi="Arial" w:cs="Arial"/>
        </w:rPr>
      </w:pPr>
    </w:p>
    <w:p w14:paraId="46FC2A57" w14:textId="77777777" w:rsidR="00DD149D" w:rsidRDefault="00DD149D" w:rsidP="00DD149D">
      <w:pPr>
        <w:ind w:left="360"/>
        <w:jc w:val="both"/>
        <w:rPr>
          <w:rFonts w:ascii="Arial" w:hAnsi="Arial" w:cs="Arial"/>
        </w:rPr>
      </w:pPr>
      <w:r w:rsidRPr="00995454">
        <w:rPr>
          <w:rFonts w:ascii="Arial" w:hAnsi="Arial" w:cs="Arial"/>
        </w:rPr>
        <w:t>On s’adresse au Juge en lui disant « Monsieu</w:t>
      </w:r>
      <w:r>
        <w:rPr>
          <w:rFonts w:ascii="Arial" w:hAnsi="Arial" w:cs="Arial"/>
        </w:rPr>
        <w:t xml:space="preserve">r </w:t>
      </w:r>
      <w:r w:rsidRPr="00995454">
        <w:rPr>
          <w:rFonts w:ascii="Arial" w:hAnsi="Arial" w:cs="Arial"/>
        </w:rPr>
        <w:t>le Juge » ou « Madame la Juge ».</w:t>
      </w:r>
    </w:p>
    <w:p w14:paraId="52F119E8" w14:textId="77777777" w:rsidR="00DD149D" w:rsidRPr="00995454" w:rsidRDefault="00DD149D" w:rsidP="00DD149D">
      <w:pPr>
        <w:ind w:left="360"/>
        <w:jc w:val="both"/>
        <w:rPr>
          <w:rFonts w:ascii="Arial" w:hAnsi="Arial" w:cs="Arial"/>
        </w:rPr>
      </w:pPr>
    </w:p>
    <w:p w14:paraId="067BAC02" w14:textId="77777777" w:rsidR="00DD149D" w:rsidRDefault="00DD149D" w:rsidP="00DD149D">
      <w:pPr>
        <w:ind w:left="357"/>
        <w:jc w:val="both"/>
        <w:rPr>
          <w:rFonts w:ascii="Arial" w:hAnsi="Arial" w:cs="Arial"/>
        </w:rPr>
      </w:pPr>
      <w:r w:rsidRPr="00995454">
        <w:rPr>
          <w:rFonts w:ascii="Arial" w:hAnsi="Arial" w:cs="Arial"/>
        </w:rPr>
        <w:t xml:space="preserve">Le juge s’assurera que le consentement n’a pas été donné ou obtenu </w:t>
      </w:r>
      <w:proofErr w:type="gramStart"/>
      <w:r w:rsidRPr="00995454">
        <w:rPr>
          <w:rFonts w:ascii="Arial" w:hAnsi="Arial" w:cs="Arial"/>
        </w:rPr>
        <w:t>suite à des</w:t>
      </w:r>
      <w:proofErr w:type="gramEnd"/>
      <w:r w:rsidRPr="00995454">
        <w:rPr>
          <w:rFonts w:ascii="Arial" w:hAnsi="Arial" w:cs="Arial"/>
        </w:rPr>
        <w:t xml:space="preserve"> pressions, menaces ou contraintes. </w:t>
      </w:r>
    </w:p>
    <w:p w14:paraId="51826A38" w14:textId="77777777" w:rsidR="00DD149D" w:rsidRPr="00995454" w:rsidRDefault="00DD149D" w:rsidP="00DD149D">
      <w:pPr>
        <w:ind w:left="357"/>
        <w:jc w:val="both"/>
        <w:rPr>
          <w:rFonts w:ascii="Arial" w:hAnsi="Arial" w:cs="Arial"/>
        </w:rPr>
      </w:pPr>
    </w:p>
    <w:p w14:paraId="1331C79B" w14:textId="77777777" w:rsidR="00DD149D" w:rsidRPr="00995454" w:rsidRDefault="00DD149D" w:rsidP="00DD149D">
      <w:pPr>
        <w:ind w:left="360"/>
        <w:jc w:val="both"/>
        <w:rPr>
          <w:rFonts w:ascii="Arial" w:hAnsi="Arial" w:cs="Arial"/>
        </w:rPr>
      </w:pPr>
      <w:r w:rsidRPr="00995454">
        <w:rPr>
          <w:rFonts w:ascii="Arial" w:hAnsi="Arial" w:cs="Arial"/>
        </w:rPr>
        <w:t xml:space="preserve">Le Tribunal regardera si l’accord est bien conforme aux intérêts supérieurs des enfants. </w:t>
      </w:r>
      <w:r w:rsidRPr="00837090">
        <w:rPr>
          <w:rFonts w:ascii="Arial" w:hAnsi="Arial" w:cs="Arial"/>
          <w:b/>
          <w:bCs/>
          <w:color w:val="C00000"/>
        </w:rPr>
        <w:t xml:space="preserve">Il est </w:t>
      </w:r>
      <w:r>
        <w:rPr>
          <w:rFonts w:ascii="Arial" w:hAnsi="Arial" w:cs="Arial"/>
          <w:b/>
          <w:bCs/>
          <w:color w:val="C00000"/>
        </w:rPr>
        <w:t xml:space="preserve">toujours </w:t>
      </w:r>
      <w:r w:rsidRPr="00837090">
        <w:rPr>
          <w:rFonts w:ascii="Arial" w:hAnsi="Arial" w:cs="Arial"/>
          <w:b/>
          <w:bCs/>
          <w:color w:val="C00000"/>
        </w:rPr>
        <w:t>libre de décider de tout ce qui concerne</w:t>
      </w:r>
      <w:r w:rsidRPr="00837090">
        <w:rPr>
          <w:b/>
          <w:bCs/>
          <w:color w:val="C00000"/>
        </w:rPr>
        <w:t xml:space="preserve"> </w:t>
      </w:r>
      <w:r w:rsidRPr="00837090">
        <w:rPr>
          <w:rFonts w:ascii="Arial" w:hAnsi="Arial" w:cs="Arial"/>
          <w:b/>
          <w:bCs/>
          <w:color w:val="C00000"/>
        </w:rPr>
        <w:t>des mineurs</w:t>
      </w:r>
      <w:r w:rsidRPr="00995454">
        <w:rPr>
          <w:rFonts w:ascii="Arial" w:hAnsi="Arial" w:cs="Arial"/>
        </w:rPr>
        <w:t xml:space="preserve"> et n’a pas à nécessairement accepter les termes de l’accord relatifs aux enfants mineurs.</w:t>
      </w:r>
    </w:p>
    <w:p w14:paraId="77C32FF1" w14:textId="77777777" w:rsidR="00DD149D" w:rsidRDefault="00DD149D" w:rsidP="00DD149D">
      <w:pPr>
        <w:jc w:val="both"/>
        <w:rPr>
          <w:rFonts w:ascii="Arial" w:hAnsi="Arial" w:cs="Arial"/>
        </w:rPr>
      </w:pPr>
    </w:p>
    <w:p w14:paraId="161317F4" w14:textId="0D1F6783" w:rsidR="00DD149D" w:rsidRDefault="00DD149D" w:rsidP="00DD149D">
      <w:pPr>
        <w:ind w:left="357"/>
        <w:jc w:val="both"/>
        <w:rPr>
          <w:rFonts w:ascii="Arial" w:hAnsi="Arial" w:cs="Arial"/>
          <w:b/>
          <w:bCs/>
        </w:rPr>
      </w:pPr>
      <w:r>
        <w:rPr>
          <w:rFonts w:ascii="Arial" w:hAnsi="Arial" w:cs="Arial"/>
        </w:rPr>
        <w:t xml:space="preserve">Pour plus de détail sur l’audience, voir </w:t>
      </w:r>
      <w:hyperlink r:id="rId8" w:history="1">
        <w:r w:rsidRPr="005C4F4E">
          <w:rPr>
            <w:rStyle w:val="Lienhypertexte"/>
            <w:rFonts w:ascii="Arial" w:hAnsi="Arial" w:cs="Arial"/>
            <w:b/>
            <w:bCs/>
          </w:rPr>
          <w:t>ici</w:t>
        </w:r>
      </w:hyperlink>
      <w:r>
        <w:rPr>
          <w:rFonts w:ascii="Arial" w:hAnsi="Arial" w:cs="Arial"/>
          <w:b/>
          <w:bCs/>
        </w:rPr>
        <w:t xml:space="preserve">.  </w:t>
      </w:r>
    </w:p>
    <w:p w14:paraId="758AB897" w14:textId="77777777" w:rsidR="00DD149D" w:rsidRPr="00824D7F" w:rsidRDefault="00DD149D" w:rsidP="00DD149D">
      <w:pPr>
        <w:ind w:left="357"/>
        <w:jc w:val="both"/>
        <w:rPr>
          <w:rFonts w:ascii="Arial" w:hAnsi="Arial" w:cs="Arial"/>
        </w:rPr>
      </w:pPr>
    </w:p>
    <w:p w14:paraId="65D86799" w14:textId="77777777" w:rsidR="00DD149D" w:rsidRDefault="00DD149D" w:rsidP="00DD149D">
      <w:pPr>
        <w:spacing w:line="360" w:lineRule="auto"/>
        <w:ind w:left="720"/>
        <w:jc w:val="both"/>
        <w:rPr>
          <w:rFonts w:ascii="Arial" w:hAnsi="Arial" w:cs="Arial"/>
          <w:b/>
          <w:color w:val="C00000"/>
          <w:sz w:val="28"/>
          <w:szCs w:val="28"/>
          <w:u w:val="single"/>
        </w:rPr>
      </w:pPr>
    </w:p>
    <w:p w14:paraId="3A0B4468" w14:textId="77777777" w:rsidR="00DD149D" w:rsidRPr="00995454" w:rsidRDefault="00DD149D" w:rsidP="00DD149D">
      <w:pPr>
        <w:numPr>
          <w:ilvl w:val="0"/>
          <w:numId w:val="2"/>
        </w:numPr>
        <w:spacing w:line="360" w:lineRule="auto"/>
        <w:jc w:val="both"/>
        <w:rPr>
          <w:rFonts w:ascii="Arial" w:hAnsi="Arial" w:cs="Arial"/>
          <w:b/>
          <w:color w:val="C00000"/>
          <w:sz w:val="28"/>
          <w:szCs w:val="28"/>
          <w:u w:val="single"/>
        </w:rPr>
      </w:pPr>
      <w:r w:rsidRPr="00995454">
        <w:rPr>
          <w:rFonts w:ascii="Arial" w:hAnsi="Arial" w:cs="Arial"/>
          <w:b/>
          <w:color w:val="C00000"/>
          <w:sz w:val="28"/>
          <w:szCs w:val="28"/>
          <w:u w:val="single"/>
        </w:rPr>
        <w:t>Après l’audience</w:t>
      </w:r>
    </w:p>
    <w:p w14:paraId="5D4C0BDE" w14:textId="77777777" w:rsidR="00DD149D" w:rsidRPr="00995454" w:rsidRDefault="00DD149D" w:rsidP="00DD149D">
      <w:pPr>
        <w:spacing w:line="360" w:lineRule="auto"/>
        <w:ind w:left="360"/>
        <w:jc w:val="both"/>
        <w:rPr>
          <w:rFonts w:ascii="Arial" w:hAnsi="Arial" w:cs="Arial"/>
        </w:rPr>
      </w:pPr>
    </w:p>
    <w:p w14:paraId="4970256E" w14:textId="77777777" w:rsidR="00DD149D" w:rsidRPr="00995454" w:rsidRDefault="00DD149D" w:rsidP="00DD149D">
      <w:pPr>
        <w:ind w:left="357"/>
        <w:jc w:val="both"/>
        <w:rPr>
          <w:rFonts w:ascii="Arial" w:hAnsi="Arial" w:cs="Arial"/>
        </w:rPr>
      </w:pPr>
      <w:r w:rsidRPr="00995454">
        <w:rPr>
          <w:rFonts w:ascii="Arial" w:hAnsi="Arial" w:cs="Arial"/>
        </w:rPr>
        <w:t xml:space="preserve">Attendre le jugement que le </w:t>
      </w:r>
      <w:r>
        <w:rPr>
          <w:rFonts w:ascii="Arial" w:hAnsi="Arial" w:cs="Arial"/>
        </w:rPr>
        <w:t>T</w:t>
      </w:r>
      <w:r w:rsidRPr="00995454">
        <w:rPr>
          <w:rFonts w:ascii="Arial" w:hAnsi="Arial" w:cs="Arial"/>
        </w:rPr>
        <w:t xml:space="preserve">ribunal vous enverra par la poste, en recommandé avec accusé de réception, (dans les 3 -4 semaines après l’audience). </w:t>
      </w:r>
    </w:p>
    <w:p w14:paraId="6E58C85F" w14:textId="77777777" w:rsidR="00DD149D" w:rsidRDefault="00DD149D" w:rsidP="00DD149D">
      <w:pPr>
        <w:spacing w:line="360" w:lineRule="auto"/>
        <w:ind w:left="360"/>
        <w:jc w:val="both"/>
      </w:pPr>
    </w:p>
    <w:p w14:paraId="5F0BD56D" w14:textId="77777777" w:rsidR="00DD149D" w:rsidRPr="00995454" w:rsidRDefault="00DD149D" w:rsidP="00DD149D">
      <w:pPr>
        <w:ind w:left="357"/>
        <w:jc w:val="both"/>
        <w:rPr>
          <w:rFonts w:ascii="Arial" w:hAnsi="Arial" w:cs="Arial"/>
        </w:rPr>
      </w:pPr>
      <w:r>
        <w:rPr>
          <w:rFonts w:ascii="Arial" w:hAnsi="Arial" w:cs="Arial"/>
        </w:rPr>
        <w:t>La convention sera définitivement ratifiée 30 jours après réception du jugement</w:t>
      </w:r>
      <w:r w:rsidRPr="00995454">
        <w:rPr>
          <w:rFonts w:ascii="Arial" w:hAnsi="Arial" w:cs="Arial"/>
        </w:rPr>
        <w:t xml:space="preserve">. </w:t>
      </w:r>
    </w:p>
    <w:p w14:paraId="6407AC9C" w14:textId="77777777" w:rsidR="00DD149D" w:rsidRPr="00995454" w:rsidRDefault="00DD149D" w:rsidP="00DD149D">
      <w:pPr>
        <w:spacing w:line="360" w:lineRule="auto"/>
        <w:ind w:left="360"/>
        <w:jc w:val="both"/>
        <w:rPr>
          <w:rFonts w:ascii="Arial" w:hAnsi="Arial" w:cs="Arial"/>
        </w:rPr>
      </w:pPr>
    </w:p>
    <w:p w14:paraId="1575B9BC" w14:textId="77777777" w:rsidR="00DD149D" w:rsidRPr="00995454" w:rsidRDefault="00DD149D" w:rsidP="00DD149D">
      <w:pPr>
        <w:ind w:left="357"/>
        <w:jc w:val="both"/>
        <w:rPr>
          <w:rFonts w:ascii="Arial" w:hAnsi="Arial" w:cs="Arial"/>
        </w:rPr>
      </w:pPr>
      <w:r w:rsidRPr="00995454">
        <w:rPr>
          <w:rFonts w:ascii="Arial" w:hAnsi="Arial" w:cs="Arial"/>
        </w:rPr>
        <w:t xml:space="preserve">Ce délai vous permet de faire appel du jugement au cas où vous avez changé d’avis ou au cas où vous souhaitez faire modifier le jugement. </w:t>
      </w:r>
    </w:p>
    <w:p w14:paraId="60632BB3" w14:textId="77777777" w:rsidR="00DD149D" w:rsidRPr="00995454" w:rsidRDefault="00DD149D" w:rsidP="00DD149D">
      <w:pPr>
        <w:ind w:left="357"/>
        <w:jc w:val="both"/>
        <w:rPr>
          <w:rFonts w:ascii="Arial" w:hAnsi="Arial" w:cs="Arial"/>
        </w:rPr>
      </w:pPr>
    </w:p>
    <w:p w14:paraId="7D081917" w14:textId="522EDE53" w:rsidR="00342B87" w:rsidRPr="00BF485B" w:rsidRDefault="00DD149D" w:rsidP="00BF485B">
      <w:pPr>
        <w:ind w:left="357"/>
        <w:jc w:val="both"/>
        <w:rPr>
          <w:rFonts w:ascii="Arial" w:hAnsi="Arial" w:cs="Arial"/>
        </w:rPr>
      </w:pPr>
      <w:r w:rsidRPr="00995454">
        <w:rPr>
          <w:rFonts w:ascii="Arial" w:hAnsi="Arial" w:cs="Arial"/>
        </w:rPr>
        <w:t xml:space="preserve">Une fois définitif, le </w:t>
      </w:r>
      <w:r>
        <w:rPr>
          <w:rFonts w:ascii="Arial" w:hAnsi="Arial" w:cs="Arial"/>
        </w:rPr>
        <w:t>T</w:t>
      </w:r>
      <w:r w:rsidRPr="00995454">
        <w:rPr>
          <w:rFonts w:ascii="Arial" w:hAnsi="Arial" w:cs="Arial"/>
        </w:rPr>
        <w:t>ribunal communique automatiquement (mais avec lenteur !) le jugement définitif aux administrations suisses concernées, en particulier l’administration fiscale, l’Office cantonal de la population (</w:t>
      </w:r>
      <w:r>
        <w:rPr>
          <w:rFonts w:ascii="Arial" w:hAnsi="Arial" w:cs="Arial"/>
        </w:rPr>
        <w:t>C</w:t>
      </w:r>
      <w:r w:rsidRPr="00995454">
        <w:rPr>
          <w:rFonts w:ascii="Arial" w:hAnsi="Arial" w:cs="Arial"/>
        </w:rPr>
        <w:t>ontrôle de l’habitant) et l’état civil suisse</w:t>
      </w:r>
      <w:r>
        <w:rPr>
          <w:rFonts w:ascii="Arial" w:hAnsi="Arial" w:cs="Arial"/>
        </w:rPr>
        <w:t>.</w:t>
      </w:r>
    </w:p>
    <w:sectPr w:rsidR="00342B87" w:rsidRPr="00BF485B" w:rsidSect="00BF485B">
      <w:headerReference w:type="even" r:id="rId9"/>
      <w:headerReference w:type="default" r:id="rId10"/>
      <w:pgSz w:w="11906" w:h="16838" w:code="9"/>
      <w:pgMar w:top="1560" w:right="1418" w:bottom="1418" w:left="1418" w:header="709" w:footer="709" w:gutter="0"/>
      <w:paperSrc w:first="4" w:other="4"/>
      <w:cols w:space="708"/>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791C1" w14:textId="77777777" w:rsidR="00090E6B" w:rsidRDefault="005C4F4E" w:rsidP="00B82E46">
    <w:pPr>
      <w:pStyle w:val="En-tte"/>
      <w:framePr w:wrap="around" w:vAnchor="text" w:hAnchor="margin" w:xAlign="right" w:y="1"/>
      <w:rPr>
        <w:rStyle w:val="Numrodepage"/>
      </w:rPr>
    </w:pPr>
    <w:r>
      <w:rPr>
        <w:rStyle w:val="Numrodepage"/>
      </w:rPr>
      <w:fldChar w:fldCharType="begin"/>
    </w:r>
    <w:r>
      <w:rPr>
        <w:rStyle w:val="Numrodepage"/>
      </w:rPr>
      <w:instrText>PAGE</w:instrText>
    </w:r>
    <w:r>
      <w:rPr>
        <w:rStyle w:val="Numrodepage"/>
      </w:rPr>
      <w:instrText xml:space="preserve">  </w:instrText>
    </w:r>
    <w:r>
      <w:rPr>
        <w:rStyle w:val="Numrodepage"/>
      </w:rPr>
      <w:fldChar w:fldCharType="end"/>
    </w:r>
  </w:p>
  <w:p w14:paraId="480F7EB7" w14:textId="77777777" w:rsidR="00090E6B" w:rsidRDefault="005C4F4E" w:rsidP="00B82E46">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EE348" w14:textId="77777777" w:rsidR="00090E6B" w:rsidRDefault="005C4F4E" w:rsidP="00B82E46">
    <w:pPr>
      <w:pStyle w:val="En-tte"/>
      <w:framePr w:wrap="around" w:vAnchor="text" w:hAnchor="margin" w:xAlign="right" w:y="1"/>
      <w:rPr>
        <w:rStyle w:val="Numrodepage"/>
      </w:rPr>
    </w:pPr>
    <w:r>
      <w:rPr>
        <w:rStyle w:val="Numrodepage"/>
      </w:rPr>
      <w:fldChar w:fldCharType="begin"/>
    </w:r>
    <w:r>
      <w:rPr>
        <w:rStyle w:val="Numrodepage"/>
      </w:rPr>
      <w:instrText>PAG</w:instrText>
    </w:r>
    <w:r>
      <w:rPr>
        <w:rStyle w:val="Numrodepage"/>
      </w:rPr>
      <w:instrText>E</w:instrText>
    </w:r>
    <w:r>
      <w:rPr>
        <w:rStyle w:val="Numrodepage"/>
      </w:rPr>
      <w:instrText xml:space="preserve">  </w:instrText>
    </w:r>
    <w:r>
      <w:rPr>
        <w:rStyle w:val="Numrodepage"/>
      </w:rPr>
      <w:fldChar w:fldCharType="separate"/>
    </w:r>
    <w:r>
      <w:rPr>
        <w:rStyle w:val="Numrodepage"/>
        <w:noProof/>
      </w:rPr>
      <w:t>2</w:t>
    </w:r>
    <w:r>
      <w:rPr>
        <w:rStyle w:val="Numrodepage"/>
      </w:rPr>
      <w:fldChar w:fldCharType="end"/>
    </w:r>
  </w:p>
  <w:p w14:paraId="05324A34" w14:textId="77777777" w:rsidR="00090E6B" w:rsidRDefault="005C4F4E" w:rsidP="00B82E46">
    <w:pPr>
      <w:pStyle w:val="En-tt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651538"/>
    <w:multiLevelType w:val="hybridMultilevel"/>
    <w:tmpl w:val="281C0128"/>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 w15:restartNumberingAfterBreak="0">
    <w:nsid w:val="3CD21006"/>
    <w:multiLevelType w:val="hybridMultilevel"/>
    <w:tmpl w:val="A1DACCFC"/>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3D982853"/>
    <w:multiLevelType w:val="hybridMultilevel"/>
    <w:tmpl w:val="7C2045D6"/>
    <w:lvl w:ilvl="0" w:tplc="100C0001">
      <w:start w:val="1"/>
      <w:numFmt w:val="bullet"/>
      <w:lvlText w:val=""/>
      <w:lvlJc w:val="left"/>
      <w:pPr>
        <w:ind w:left="1434" w:hanging="360"/>
      </w:pPr>
      <w:rPr>
        <w:rFonts w:ascii="Symbol" w:hAnsi="Symbol" w:hint="default"/>
      </w:rPr>
    </w:lvl>
    <w:lvl w:ilvl="1" w:tplc="100C0003" w:tentative="1">
      <w:start w:val="1"/>
      <w:numFmt w:val="bullet"/>
      <w:lvlText w:val="o"/>
      <w:lvlJc w:val="left"/>
      <w:pPr>
        <w:ind w:left="2154" w:hanging="360"/>
      </w:pPr>
      <w:rPr>
        <w:rFonts w:ascii="Courier New" w:hAnsi="Courier New" w:cs="Courier New" w:hint="default"/>
      </w:rPr>
    </w:lvl>
    <w:lvl w:ilvl="2" w:tplc="100C0005" w:tentative="1">
      <w:start w:val="1"/>
      <w:numFmt w:val="bullet"/>
      <w:lvlText w:val=""/>
      <w:lvlJc w:val="left"/>
      <w:pPr>
        <w:ind w:left="2874" w:hanging="360"/>
      </w:pPr>
      <w:rPr>
        <w:rFonts w:ascii="Wingdings" w:hAnsi="Wingdings" w:hint="default"/>
      </w:rPr>
    </w:lvl>
    <w:lvl w:ilvl="3" w:tplc="100C0001" w:tentative="1">
      <w:start w:val="1"/>
      <w:numFmt w:val="bullet"/>
      <w:lvlText w:val=""/>
      <w:lvlJc w:val="left"/>
      <w:pPr>
        <w:ind w:left="3594" w:hanging="360"/>
      </w:pPr>
      <w:rPr>
        <w:rFonts w:ascii="Symbol" w:hAnsi="Symbol" w:hint="default"/>
      </w:rPr>
    </w:lvl>
    <w:lvl w:ilvl="4" w:tplc="100C0003" w:tentative="1">
      <w:start w:val="1"/>
      <w:numFmt w:val="bullet"/>
      <w:lvlText w:val="o"/>
      <w:lvlJc w:val="left"/>
      <w:pPr>
        <w:ind w:left="4314" w:hanging="360"/>
      </w:pPr>
      <w:rPr>
        <w:rFonts w:ascii="Courier New" w:hAnsi="Courier New" w:cs="Courier New" w:hint="default"/>
      </w:rPr>
    </w:lvl>
    <w:lvl w:ilvl="5" w:tplc="100C0005" w:tentative="1">
      <w:start w:val="1"/>
      <w:numFmt w:val="bullet"/>
      <w:lvlText w:val=""/>
      <w:lvlJc w:val="left"/>
      <w:pPr>
        <w:ind w:left="5034" w:hanging="360"/>
      </w:pPr>
      <w:rPr>
        <w:rFonts w:ascii="Wingdings" w:hAnsi="Wingdings" w:hint="default"/>
      </w:rPr>
    </w:lvl>
    <w:lvl w:ilvl="6" w:tplc="100C0001" w:tentative="1">
      <w:start w:val="1"/>
      <w:numFmt w:val="bullet"/>
      <w:lvlText w:val=""/>
      <w:lvlJc w:val="left"/>
      <w:pPr>
        <w:ind w:left="5754" w:hanging="360"/>
      </w:pPr>
      <w:rPr>
        <w:rFonts w:ascii="Symbol" w:hAnsi="Symbol" w:hint="default"/>
      </w:rPr>
    </w:lvl>
    <w:lvl w:ilvl="7" w:tplc="100C0003" w:tentative="1">
      <w:start w:val="1"/>
      <w:numFmt w:val="bullet"/>
      <w:lvlText w:val="o"/>
      <w:lvlJc w:val="left"/>
      <w:pPr>
        <w:ind w:left="6474" w:hanging="360"/>
      </w:pPr>
      <w:rPr>
        <w:rFonts w:ascii="Courier New" w:hAnsi="Courier New" w:cs="Courier New" w:hint="default"/>
      </w:rPr>
    </w:lvl>
    <w:lvl w:ilvl="8" w:tplc="100C0005" w:tentative="1">
      <w:start w:val="1"/>
      <w:numFmt w:val="bullet"/>
      <w:lvlText w:val=""/>
      <w:lvlJc w:val="left"/>
      <w:pPr>
        <w:ind w:left="7194" w:hanging="360"/>
      </w:pPr>
      <w:rPr>
        <w:rFonts w:ascii="Wingdings" w:hAnsi="Wingdings" w:hint="default"/>
      </w:rPr>
    </w:lvl>
  </w:abstractNum>
  <w:abstractNum w:abstractNumId="3" w15:restartNumberingAfterBreak="0">
    <w:nsid w:val="7AD80B2F"/>
    <w:multiLevelType w:val="hybridMultilevel"/>
    <w:tmpl w:val="2452A1C8"/>
    <w:lvl w:ilvl="0" w:tplc="A9FEE260">
      <w:start w:val="1"/>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49D"/>
    <w:rsid w:val="00026ABD"/>
    <w:rsid w:val="00342B87"/>
    <w:rsid w:val="005C4F4E"/>
    <w:rsid w:val="005F69E1"/>
    <w:rsid w:val="00BF485B"/>
    <w:rsid w:val="00DD149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E10AA"/>
  <w15:chartTrackingRefBased/>
  <w15:docId w15:val="{2BEDBBFD-9AEA-42B7-928E-511C923D7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49D"/>
    <w:pPr>
      <w:spacing w:after="0" w:line="240" w:lineRule="auto"/>
    </w:pPr>
    <w:rPr>
      <w:rFonts w:ascii="Times New Roman" w:eastAsia="Times New Roman" w:hAnsi="Times New Roman" w:cs="Times New Roman"/>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DD149D"/>
    <w:pPr>
      <w:tabs>
        <w:tab w:val="center" w:pos="4536"/>
        <w:tab w:val="right" w:pos="9072"/>
      </w:tabs>
    </w:pPr>
  </w:style>
  <w:style w:type="character" w:customStyle="1" w:styleId="En-tteCar">
    <w:name w:val="En-tête Car"/>
    <w:basedOn w:val="Policepardfaut"/>
    <w:link w:val="En-tte"/>
    <w:rsid w:val="00DD149D"/>
    <w:rPr>
      <w:rFonts w:ascii="Times New Roman" w:eastAsia="Times New Roman" w:hAnsi="Times New Roman" w:cs="Times New Roman"/>
      <w:sz w:val="24"/>
      <w:szCs w:val="24"/>
      <w:lang w:val="fr-FR" w:eastAsia="fr-FR"/>
    </w:rPr>
  </w:style>
  <w:style w:type="character" w:styleId="Numrodepage">
    <w:name w:val="page number"/>
    <w:basedOn w:val="Policepardfaut"/>
    <w:rsid w:val="00DD149D"/>
  </w:style>
  <w:style w:type="character" w:styleId="Lienhypertexte">
    <w:name w:val="Hyperlink"/>
    <w:rsid w:val="00DD149D"/>
    <w:rPr>
      <w:color w:val="0000FF"/>
      <w:u w:val="single"/>
    </w:rPr>
  </w:style>
  <w:style w:type="paragraph" w:styleId="Paragraphedeliste">
    <w:name w:val="List Paragraph"/>
    <w:basedOn w:val="Normal"/>
    <w:uiPriority w:val="34"/>
    <w:qFormat/>
    <w:rsid w:val="00DD149D"/>
    <w:pPr>
      <w:ind w:left="708"/>
    </w:pPr>
  </w:style>
  <w:style w:type="character" w:styleId="Mentionnonrsolue">
    <w:name w:val="Unresolved Mention"/>
    <w:basedOn w:val="Policepardfaut"/>
    <w:uiPriority w:val="99"/>
    <w:semiHidden/>
    <w:unhideWhenUsed/>
    <w:rsid w:val="005C4F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vorce.ch/nos-dossiers/procedure/comment-se-passe-une-audience/" TargetMode="External"/><Relationship Id="rId3" Type="http://schemas.openxmlformats.org/officeDocument/2006/relationships/settings" Target="settings.xml"/><Relationship Id="rId7" Type="http://schemas.openxmlformats.org/officeDocument/2006/relationships/hyperlink" Target="https://divorce.ch/nos-dossiers/procedure/assistance-juridiqu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ivorce.ch/nos-dossiers/procedure/droits-de-greffe/" TargetMode="External"/><Relationship Id="rId11" Type="http://schemas.openxmlformats.org/officeDocument/2006/relationships/fontTable" Target="fontTable.xml"/><Relationship Id="rId5" Type="http://schemas.openxmlformats.org/officeDocument/2006/relationships/hyperlink" Target="https://divorce.ch/nos-dossiers/procedure/assistance-juridique/" TargetMode="Externa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746</Words>
  <Characters>4109</Characters>
  <Application>Microsoft Office Word</Application>
  <DocSecurity>0</DocSecurity>
  <Lines>34</Lines>
  <Paragraphs>9</Paragraphs>
  <ScaleCrop>false</ScaleCrop>
  <Company/>
  <LinksUpToDate>false</LinksUpToDate>
  <CharactersWithSpaces>4846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Sabatier</dc:creator>
  <cp:keywords/>
  <dc:description/>
  <cp:lastModifiedBy>Benjamin Sabatier</cp:lastModifiedBy>
  <cp:revision>4</cp:revision>
  <dcterms:created xsi:type="dcterms:W3CDTF">2021-08-21T08:48:00Z</dcterms:created>
  <dcterms:modified xsi:type="dcterms:W3CDTF">2021-08-21T08:51:00Z</dcterms:modified>
</cp:coreProperties>
</file>